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9" w:rsidRPr="00924BAF" w:rsidRDefault="00743899" w:rsidP="00924B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>АНАЛІЗ РЕГУЛЯТОРНОГО ВПЛИВУ</w:t>
      </w:r>
    </w:p>
    <w:p w:rsidR="004C0B14" w:rsidRPr="00924BAF" w:rsidRDefault="00263CF8" w:rsidP="00924BAF">
      <w:pPr>
        <w:tabs>
          <w:tab w:val="left" w:pos="8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>до проє</w:t>
      </w:r>
      <w:r w:rsidR="00743899"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>кту рішенн</w:t>
      </w:r>
      <w:r w:rsidR="007D73BC"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 xml:space="preserve">я </w:t>
      </w:r>
      <w:proofErr w:type="spellStart"/>
      <w:r w:rsidR="007D73BC"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>Люботинської</w:t>
      </w:r>
      <w:proofErr w:type="spellEnd"/>
      <w:r w:rsidR="007D73BC"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 xml:space="preserve"> міської ради</w:t>
      </w:r>
      <w:r w:rsidR="00743899" w:rsidRPr="00924BA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 xml:space="preserve"> </w:t>
      </w:r>
      <w:r w:rsidR="007D73BC" w:rsidRPr="00924B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ставок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туристичного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збору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4C0B14" w:rsidRPr="0092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B14" w:rsidRPr="00924BAF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Визначення проблеми і її причини</w:t>
      </w: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Законом України </w:t>
      </w:r>
      <w:proofErr w:type="spellStart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місцеве самоврядування в Україні" та Податковим кодексом України визначені повноваження органів місцевого самоврядування щодо встановлення місцевих податків і зборів.</w:t>
      </w: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Податкового кодексу України органи місцевого самоврядування зобов'язані до 1</w:t>
      </w:r>
      <w:r w:rsidR="000A150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липня року, що передує бюджетному періоду, в якому планується застосування встановлених місцевих податків та зборів офіційно оприлюднити рішення про їх встановлення.</w:t>
      </w:r>
    </w:p>
    <w:p w:rsidR="00743899" w:rsidRPr="00924BAF" w:rsidRDefault="00263CF8" w:rsidP="00924BAF">
      <w:pPr>
        <w:tabs>
          <w:tab w:val="left" w:pos="8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кт рішення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туристичного збору  на території </w:t>
      </w:r>
      <w:proofErr w:type="spellStart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громади»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розроблено з метою </w:t>
      </w:r>
      <w:r w:rsidR="00CD7FF5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абезпечення додаткових надходжень до бюджету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зміцнення матеріальної і фінансової бази місцевого самоврядування, сприяння соціально-економічного розвитку</w:t>
      </w:r>
      <w:r w:rsidR="00CD7FF5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</w:t>
      </w:r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ької територіальної громади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D73BC" w:rsidRPr="00924BAF" w:rsidRDefault="00743899" w:rsidP="00924BAF">
      <w:pPr>
        <w:tabs>
          <w:tab w:val="left" w:pos="8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Місцеві податки та збори зараховуються в повному обсязі до бюджету </w:t>
      </w:r>
      <w:proofErr w:type="spellStart"/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є його </w:t>
      </w:r>
      <w:proofErr w:type="spellStart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бюджетоформуючим</w:t>
      </w:r>
      <w:proofErr w:type="spellEnd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джерелом, забезпечують збалансованість дохідної частини бюджету та задов</w:t>
      </w:r>
      <w:r w:rsidR="00CD7FF5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олення нагальних потреб громади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бюджету , виконання програм соціально-економічного розвитку  </w:t>
      </w:r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міська рада має прийняти рішення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туристичного збору  на території </w:t>
      </w:r>
      <w:proofErr w:type="spellStart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громади».</w:t>
      </w: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</w:t>
      </w:r>
      <w:r w:rsidR="00B82353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proofErr w:type="spellStart"/>
      <w:r w:rsidR="00263CF8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ктом</w:t>
      </w:r>
      <w:proofErr w:type="spellEnd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передбачається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ставок туристичного збору  на території </w:t>
      </w:r>
      <w:proofErr w:type="spellStart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CD7FF5" w:rsidRPr="00924BAF" w:rsidRDefault="00CD7FF5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Мета і завдання документа</w:t>
      </w:r>
    </w:p>
    <w:p w:rsidR="00CD7FF5" w:rsidRPr="00924BAF" w:rsidRDefault="00CD7FF5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263CF8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Метою запропонованого проє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кту рішення є дотримання принципів державної регуляторної політики, встановлення ставок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туристичного збору</w:t>
      </w:r>
      <w:r w:rsidR="00743899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відповідно до вимог Податкового кодексу України.</w:t>
      </w: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Це забезпечується виконанням таких завдань:</w:t>
      </w:r>
    </w:p>
    <w:p w:rsidR="00743899" w:rsidRPr="00924BAF" w:rsidRDefault="00743899" w:rsidP="00924B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затвердженням рішення "</w:t>
      </w:r>
      <w:r w:rsidRPr="00924BA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Про встановлення ставок 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туристичного збору</w:t>
      </w:r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</w:t>
      </w:r>
    </w:p>
    <w:p w:rsidR="00743899" w:rsidRPr="00924BAF" w:rsidRDefault="00743899" w:rsidP="00924B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 оприлюдненням цього рішення в засобах масової інформації;</w:t>
      </w:r>
    </w:p>
    <w:p w:rsidR="00743899" w:rsidRPr="00924BAF" w:rsidRDefault="00743899" w:rsidP="00924B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встановленням контролю за виконанням цього рішення.</w:t>
      </w: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Цілі регулювання:</w:t>
      </w:r>
    </w:p>
    <w:p w:rsidR="00743899" w:rsidRPr="00924BAF" w:rsidRDefault="00743899" w:rsidP="00924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врегулювання питання щодо справляння </w:t>
      </w:r>
      <w:r w:rsidR="007D73BC" w:rsidRPr="00924BAF">
        <w:rPr>
          <w:rFonts w:ascii="Times New Roman" w:hAnsi="Times New Roman" w:cs="Times New Roman"/>
          <w:sz w:val="24"/>
          <w:szCs w:val="24"/>
          <w:lang w:val="uk-UA"/>
        </w:rPr>
        <w:t>туристичного збору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на території </w:t>
      </w:r>
      <w:proofErr w:type="spellStart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 міської </w:t>
      </w:r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територіальної громади</w:t>
      </w:r>
      <w:r w:rsidR="00A9166B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норм Податкового кодексу України;</w:t>
      </w:r>
    </w:p>
    <w:p w:rsidR="00743899" w:rsidRPr="00924BAF" w:rsidRDefault="00743899" w:rsidP="00924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наповнення доходної частини міського бюджету за рахунок збільшення надходжень від сплати податку;</w:t>
      </w:r>
    </w:p>
    <w:p w:rsidR="00743899" w:rsidRPr="00924BAF" w:rsidRDefault="00743899" w:rsidP="00924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визначення порядку і умов набрання чинності цього документу.</w:t>
      </w:r>
    </w:p>
    <w:p w:rsidR="00B82353" w:rsidRPr="00924BAF" w:rsidRDefault="00B82353" w:rsidP="00924B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Альтернатива та її оцінка</w:t>
      </w: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Альтернативи щодо вирішення даної проблеми немає. Це суперечить </w:t>
      </w:r>
      <w:proofErr w:type="spellStart"/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Податковму</w:t>
      </w:r>
      <w:proofErr w:type="spellEnd"/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кодексу України та 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регуляторним принципам.</w:t>
      </w:r>
    </w:p>
    <w:p w:rsidR="007934C7" w:rsidRPr="00924BAF" w:rsidRDefault="007934C7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934C7" w:rsidRPr="00924BAF" w:rsidRDefault="007934C7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lastRenderedPageBreak/>
        <w:t>Механізми досягнення цілей</w:t>
      </w:r>
    </w:p>
    <w:p w:rsidR="00B82353" w:rsidRPr="00924BAF" w:rsidRDefault="00B82353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Задекларовані цілі досягаються усім змістом документа, оскільки він затверджує розмір ставок. </w:t>
      </w:r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Податковим кодексом України в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изначаються платники податку, об’єкти оподаткування, порядок обчислення сум податку, пільги із сплати податку, покладається контроль за виконанням рішення.</w:t>
      </w:r>
    </w:p>
    <w:p w:rsidR="00B82353" w:rsidRPr="00924BAF" w:rsidRDefault="00B82353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Очікувані результати прийняття акту. Вигоди та витрати</w:t>
      </w:r>
    </w:p>
    <w:p w:rsidR="00B82353" w:rsidRPr="00924BAF" w:rsidRDefault="00B82353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Дія зазначеного регуляторного акту поширюється на органи місцевого самоврядування, юридичних осіб, фізичних осіб та на територіальну громаду.</w:t>
      </w: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визначення очікуваних результатів прийняття запропонованого регуляторного акту, які виникають у різних груп суб’єктів, на яких поширюється дія цього акту, наведена таблиця аналізу вигод та витрат.</w:t>
      </w: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 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3363"/>
        <w:gridCol w:w="3017"/>
      </w:tblGrid>
      <w:tr w:rsidR="00743899" w:rsidRPr="00924BAF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Pr="0092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Сфера впливу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743899" w:rsidRPr="00924BAF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24BAF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та </w:t>
            </w: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надходжень до бюджету</w:t>
            </w:r>
            <w:r w:rsidR="00263CF8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43899" w:rsidRPr="00924BAF" w:rsidRDefault="00743899" w:rsidP="00924BAF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924BAF">
              <w:rPr>
                <w:lang w:val="uk-UA"/>
              </w:rPr>
              <w:t xml:space="preserve">- ставки </w:t>
            </w:r>
            <w:r w:rsidR="007D73BC" w:rsidRPr="00924BAF">
              <w:rPr>
                <w:lang w:val="uk-UA"/>
              </w:rPr>
              <w:t>збору</w:t>
            </w:r>
            <w:r w:rsidRPr="00924BAF">
              <w:rPr>
                <w:lang w:val="uk-UA"/>
              </w:rPr>
              <w:t xml:space="preserve"> встановлюються</w:t>
            </w:r>
            <w:r w:rsidR="007D73BC" w:rsidRPr="00924BAF">
              <w:rPr>
                <w:color w:val="000000"/>
                <w:lang w:val="uk-UA"/>
              </w:rPr>
              <w:t xml:space="preserve"> за кожну добу тимчасового розміщення особи у місцях проживання (ночівлі) у розмірі  0,5 відсотка - для внутрішнього туризму та 0,5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</w:t>
            </w:r>
            <w:r w:rsidRPr="00924BAF">
              <w:rPr>
                <w:lang w:val="uk-UA"/>
              </w:rPr>
              <w:t xml:space="preserve">, що </w:t>
            </w:r>
            <w:r w:rsidR="007D73BC" w:rsidRPr="00924BAF">
              <w:rPr>
                <w:lang w:val="uk-UA"/>
              </w:rPr>
              <w:t>дасть можливість щорічно отриму</w:t>
            </w:r>
            <w:r w:rsidRPr="00924BAF">
              <w:rPr>
                <w:lang w:val="uk-UA"/>
              </w:rPr>
              <w:t>вати надходження до бюджету</w:t>
            </w:r>
            <w:r w:rsidR="00263CF8" w:rsidRPr="00924BAF">
              <w:rPr>
                <w:lang w:val="uk-UA"/>
              </w:rPr>
              <w:t xml:space="preserve"> міської територіальної громади</w:t>
            </w:r>
            <w:r w:rsidRPr="00924BAF">
              <w:rPr>
                <w:lang w:val="uk-UA"/>
              </w:rPr>
              <w:t>.</w:t>
            </w:r>
          </w:p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цього регуляторного акту фінансових витрат не потребує.</w:t>
            </w:r>
          </w:p>
        </w:tc>
      </w:tr>
      <w:tr w:rsidR="00743899" w:rsidRPr="00924BAF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Юридичні особи</w:t>
            </w:r>
          </w:p>
        </w:tc>
        <w:tc>
          <w:tcPr>
            <w:tcW w:w="3363" w:type="dxa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чітких та прогнозованих розмірів </w:t>
            </w:r>
            <w:r w:rsidR="007D73BC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туристичного</w:t>
            </w:r>
            <w:r w:rsidR="00924BAF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збору</w:t>
            </w:r>
          </w:p>
        </w:tc>
        <w:tc>
          <w:tcPr>
            <w:tcW w:w="3017" w:type="dxa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по </w:t>
            </w:r>
            <w:r w:rsidR="007D73BC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туристичного збору</w:t>
            </w:r>
          </w:p>
        </w:tc>
      </w:tr>
      <w:tr w:rsidR="00743899" w:rsidRPr="00924BAF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Фізичні особи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899" w:rsidRPr="00924BAF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43899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9F10DD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соціальної сфери міської територіальної громади</w:t>
            </w:r>
            <w:r w:rsidR="00743899"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торгової, транспортної та виробничої інфраструктури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924BAF" w:rsidRDefault="007D73BC" w:rsidP="009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 не потребує</w:t>
            </w:r>
          </w:p>
        </w:tc>
      </w:tr>
    </w:tbl>
    <w:p w:rsidR="007934C7" w:rsidRPr="00924BAF" w:rsidRDefault="007934C7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934C7" w:rsidRPr="00924BAF" w:rsidRDefault="007934C7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934C7" w:rsidRPr="00924BAF" w:rsidRDefault="007934C7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934C7" w:rsidRPr="00924BAF" w:rsidRDefault="007934C7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lastRenderedPageBreak/>
        <w:t>Термін дії документа</w:t>
      </w:r>
    </w:p>
    <w:p w:rsidR="00B82353" w:rsidRPr="00924BAF" w:rsidRDefault="00B82353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Рішення набирає чинності з 01 січня 202</w:t>
      </w:r>
      <w:r w:rsidR="00224EF1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року. В разі внесення змін до Податкового кодексу України щодо справляння </w:t>
      </w:r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туристичного збору,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відповідні зміни будуть внесені до цього регуляторного акту.</w:t>
      </w:r>
    </w:p>
    <w:p w:rsidR="009F10DD" w:rsidRPr="00924BAF" w:rsidRDefault="009F10DD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Показники результативності</w:t>
      </w:r>
    </w:p>
    <w:p w:rsidR="00B82353" w:rsidRPr="00924BAF" w:rsidRDefault="00B82353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Показником результативності цього регуляторного акту є обсяг надходжень </w:t>
      </w:r>
      <w:r w:rsidR="007D73BC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туристичного збору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 </w:t>
      </w:r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бюджету </w:t>
      </w:r>
      <w:proofErr w:type="spellStart"/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</w:t>
      </w:r>
      <w:r w:rsidR="00263CF8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</w:t>
      </w:r>
      <w:r w:rsidR="009F10DD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 територіальної громади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внаслідо</w:t>
      </w:r>
      <w:r w:rsidR="00263CF8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 прийняття запропонованого проє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кту рішення.</w:t>
      </w:r>
    </w:p>
    <w:p w:rsidR="007934C7" w:rsidRPr="00924BAF" w:rsidRDefault="007934C7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924B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Заходи по відстеженню результативності</w:t>
      </w:r>
    </w:p>
    <w:p w:rsidR="00B82353" w:rsidRPr="00924BAF" w:rsidRDefault="00B82353" w:rsidP="0092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924BAF" w:rsidRDefault="00743899" w:rsidP="0092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Відповідно до статті 10 Закону України </w:t>
      </w:r>
      <w:proofErr w:type="spellStart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засади регуляторної політики у сфері го</w:t>
      </w:r>
      <w:r w:rsidR="00B82353"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сподарської діяльності" для від</w:t>
      </w:r>
      <w:r w:rsidRPr="00924BA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стеження результативності рішення будуть застосовані дані бюджетної звітності.</w:t>
      </w:r>
    </w:p>
    <w:p w:rsidR="000A40DC" w:rsidRPr="00924BAF" w:rsidRDefault="00743899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 </w:t>
      </w:r>
      <w:r w:rsidR="000A40DC" w:rsidRPr="00924BAF">
        <w:rPr>
          <w:color w:val="333333"/>
          <w:lang w:val="uk-UA"/>
        </w:rPr>
        <w:t>Встановлені терміни відстеження результат</w:t>
      </w:r>
      <w:r w:rsidR="00263CF8" w:rsidRPr="00924BAF">
        <w:rPr>
          <w:color w:val="333333"/>
          <w:lang w:val="uk-UA"/>
        </w:rPr>
        <w:t>ивності дії запропонованого проє</w:t>
      </w:r>
      <w:r w:rsidR="000A40DC" w:rsidRPr="00924BAF">
        <w:rPr>
          <w:color w:val="333333"/>
          <w:lang w:val="uk-UA"/>
        </w:rPr>
        <w:t>кту рішення міської ради:</w:t>
      </w: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         - базове - до дня набрання чинності регуляторного акту;</w:t>
      </w:r>
    </w:p>
    <w:p w:rsidR="000A40DC" w:rsidRPr="00924BAF" w:rsidRDefault="004C0B14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 xml:space="preserve">         - </w:t>
      </w:r>
      <w:r w:rsidR="000A40DC" w:rsidRPr="00924BAF">
        <w:rPr>
          <w:color w:val="333333"/>
          <w:lang w:val="uk-UA"/>
        </w:rPr>
        <w:t>повторне - через рік після набрання чинності регуляторного акту;</w:t>
      </w: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        Відстеження результативності даного рішення здійснюватиме відділ місцевого економічного розвитку  на основі офіційних даних щодо надходжень до бюджету</w:t>
      </w:r>
      <w:r w:rsidR="00263CF8" w:rsidRPr="00924BAF">
        <w:rPr>
          <w:color w:val="333333"/>
          <w:lang w:val="uk-UA"/>
        </w:rPr>
        <w:t xml:space="preserve"> міської територіальної громади</w:t>
      </w:r>
      <w:r w:rsidRPr="00924BAF">
        <w:rPr>
          <w:color w:val="333333"/>
          <w:lang w:val="uk-UA"/>
        </w:rPr>
        <w:t xml:space="preserve"> </w:t>
      </w:r>
      <w:r w:rsidR="007D73BC" w:rsidRPr="00924BAF">
        <w:rPr>
          <w:color w:val="333333"/>
          <w:lang w:val="uk-UA"/>
        </w:rPr>
        <w:t>туристичного збору</w:t>
      </w:r>
      <w:r w:rsidRPr="00924BAF">
        <w:rPr>
          <w:color w:val="333333"/>
          <w:lang w:val="uk-UA"/>
        </w:rPr>
        <w:t>.</w:t>
      </w: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 </w:t>
      </w: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Начальник відділу</w:t>
      </w:r>
    </w:p>
    <w:p w:rsidR="000A40DC" w:rsidRPr="00924BAF" w:rsidRDefault="000A40DC" w:rsidP="00924BAF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924BAF">
        <w:rPr>
          <w:color w:val="333333"/>
          <w:lang w:val="uk-UA"/>
        </w:rPr>
        <w:t>місцевого економічного розвитку                                                                       Ірина КУДРЯ</w:t>
      </w:r>
    </w:p>
    <w:sectPr w:rsidR="000A40DC" w:rsidRPr="00924BAF" w:rsidSect="00B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75"/>
    <w:multiLevelType w:val="multilevel"/>
    <w:tmpl w:val="AC1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873"/>
    <w:multiLevelType w:val="multilevel"/>
    <w:tmpl w:val="FA0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80281"/>
    <w:multiLevelType w:val="hybridMultilevel"/>
    <w:tmpl w:val="61068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167A2"/>
    <w:multiLevelType w:val="multilevel"/>
    <w:tmpl w:val="370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3899"/>
    <w:rsid w:val="000A150D"/>
    <w:rsid w:val="000A40DC"/>
    <w:rsid w:val="0015578A"/>
    <w:rsid w:val="00210436"/>
    <w:rsid w:val="00224EF1"/>
    <w:rsid w:val="00263CF8"/>
    <w:rsid w:val="002B19AC"/>
    <w:rsid w:val="004140DD"/>
    <w:rsid w:val="004B0D8D"/>
    <w:rsid w:val="004C0B14"/>
    <w:rsid w:val="004E79CF"/>
    <w:rsid w:val="00636B88"/>
    <w:rsid w:val="006B0510"/>
    <w:rsid w:val="00743899"/>
    <w:rsid w:val="00782830"/>
    <w:rsid w:val="007934C7"/>
    <w:rsid w:val="007A5A68"/>
    <w:rsid w:val="007D73BC"/>
    <w:rsid w:val="008F5717"/>
    <w:rsid w:val="00924BAF"/>
    <w:rsid w:val="009F10DD"/>
    <w:rsid w:val="00A9166B"/>
    <w:rsid w:val="00AA7D30"/>
    <w:rsid w:val="00B82353"/>
    <w:rsid w:val="00BD0854"/>
    <w:rsid w:val="00CD7FF5"/>
    <w:rsid w:val="00F122BA"/>
    <w:rsid w:val="00F5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4"/>
  </w:style>
  <w:style w:type="paragraph" w:styleId="1">
    <w:name w:val="heading 1"/>
    <w:basedOn w:val="a"/>
    <w:link w:val="10"/>
    <w:uiPriority w:val="9"/>
    <w:qFormat/>
    <w:rsid w:val="0074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1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13</cp:revision>
  <cp:lastPrinted>2021-05-13T06:31:00Z</cp:lastPrinted>
  <dcterms:created xsi:type="dcterms:W3CDTF">2020-05-14T08:04:00Z</dcterms:created>
  <dcterms:modified xsi:type="dcterms:W3CDTF">2021-05-13T06:32:00Z</dcterms:modified>
</cp:coreProperties>
</file>